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60" w:rsidRPr="00F87B60" w:rsidRDefault="00F87B60" w:rsidP="00F87B60">
      <w:pPr>
        <w:spacing w:line="276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 xml:space="preserve">Вакцинация для профилактики </w:t>
      </w:r>
      <w:proofErr w:type="spellStart"/>
      <w:r w:rsidRPr="00F87B60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F87B60">
        <w:rPr>
          <w:rFonts w:ascii="Times New Roman" w:hAnsi="Times New Roman" w:cs="Times New Roman"/>
          <w:sz w:val="28"/>
        </w:rPr>
        <w:t xml:space="preserve"> инфекции проводится следующих категорий:</w:t>
      </w:r>
    </w:p>
    <w:p w:rsidR="00F87B60" w:rsidRPr="00F87B60" w:rsidRDefault="00F87B60" w:rsidP="00F87B60">
      <w:pPr>
        <w:pStyle w:val="a3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медицинские работники (с акцентом на сотрудников амбулаторно-поликлинического звена);</w:t>
      </w:r>
    </w:p>
    <w:p w:rsidR="00F87B60" w:rsidRPr="00F87B60" w:rsidRDefault="00F87B60" w:rsidP="00F87B60">
      <w:pPr>
        <w:pStyle w:val="a3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педагоги;</w:t>
      </w:r>
    </w:p>
    <w:p w:rsidR="00F87B60" w:rsidRPr="00F87B60" w:rsidRDefault="00F87B60" w:rsidP="00F87B60">
      <w:pPr>
        <w:pStyle w:val="a3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волонтеры;</w:t>
      </w:r>
    </w:p>
    <w:p w:rsidR="00F87B60" w:rsidRPr="00F87B60" w:rsidRDefault="00F87B60" w:rsidP="00F87B60">
      <w:pPr>
        <w:pStyle w:val="a3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работник</w:t>
      </w:r>
      <w:r>
        <w:rPr>
          <w:rFonts w:ascii="Times New Roman" w:hAnsi="Times New Roman" w:cs="Times New Roman"/>
          <w:sz w:val="28"/>
        </w:rPr>
        <w:t>и</w:t>
      </w:r>
      <w:r w:rsidRPr="00F87B60">
        <w:rPr>
          <w:rFonts w:ascii="Times New Roman" w:hAnsi="Times New Roman" w:cs="Times New Roman"/>
          <w:sz w:val="28"/>
        </w:rPr>
        <w:t xml:space="preserve"> социальной службы;</w:t>
      </w:r>
    </w:p>
    <w:p w:rsidR="00F87B60" w:rsidRPr="00F87B60" w:rsidRDefault="00F87B60" w:rsidP="00F87B60">
      <w:pPr>
        <w:pStyle w:val="a3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сотрудники полиции;</w:t>
      </w:r>
    </w:p>
    <w:p w:rsidR="00F87B60" w:rsidRPr="00F87B60" w:rsidRDefault="00F87B60" w:rsidP="00F87B60">
      <w:pPr>
        <w:pStyle w:val="a3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группы риска при отсутствии противопоказаний: пациенты с сопутствующими заболеваниями:</w:t>
      </w:r>
    </w:p>
    <w:p w:rsidR="00F87B60" w:rsidRPr="00F87B60" w:rsidRDefault="00F87B60" w:rsidP="00F87B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артериальной гипертензией;</w:t>
      </w:r>
    </w:p>
    <w:p w:rsidR="00F87B60" w:rsidRPr="00F87B60" w:rsidRDefault="00F87B60" w:rsidP="00F87B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хронической сердечной недостаточностью;</w:t>
      </w:r>
    </w:p>
    <w:p w:rsidR="00F87B60" w:rsidRPr="00F87B60" w:rsidRDefault="00F87B60" w:rsidP="00F87B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онкологическими заболеваниями;</w:t>
      </w:r>
    </w:p>
    <w:p w:rsidR="00F87B60" w:rsidRPr="00F87B60" w:rsidRDefault="00F87B60" w:rsidP="00F87B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F87B60">
        <w:rPr>
          <w:rFonts w:ascii="Times New Roman" w:hAnsi="Times New Roman" w:cs="Times New Roman"/>
          <w:sz w:val="28"/>
        </w:rPr>
        <w:t>гиперкоагуляцией</w:t>
      </w:r>
      <w:proofErr w:type="spellEnd"/>
      <w:r w:rsidRPr="00F87B60">
        <w:rPr>
          <w:rFonts w:ascii="Times New Roman" w:hAnsi="Times New Roman" w:cs="Times New Roman"/>
          <w:sz w:val="28"/>
        </w:rPr>
        <w:t xml:space="preserve">; </w:t>
      </w:r>
    </w:p>
    <w:p w:rsidR="00F87B60" w:rsidRPr="00F87B60" w:rsidRDefault="00F87B60" w:rsidP="00F87B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ДВС-синдромом;</w:t>
      </w:r>
    </w:p>
    <w:p w:rsidR="00F87B60" w:rsidRPr="00F87B60" w:rsidRDefault="00F87B60" w:rsidP="00F87B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сахарным диабетом;</w:t>
      </w:r>
    </w:p>
    <w:p w:rsidR="00F87B60" w:rsidRPr="00F87B60" w:rsidRDefault="00F87B60" w:rsidP="00F87B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болезнью двигательного нейрона;</w:t>
      </w:r>
    </w:p>
    <w:p w:rsidR="00F87B60" w:rsidRPr="00F87B60" w:rsidRDefault="00F87B60" w:rsidP="00F87B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циррозом печени;</w:t>
      </w:r>
    </w:p>
    <w:p w:rsidR="00F87B60" w:rsidRPr="00F87B60" w:rsidRDefault="00F87B60" w:rsidP="00F87B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ревматоидным артритом;</w:t>
      </w:r>
    </w:p>
    <w:p w:rsidR="00F87B60" w:rsidRPr="00F87B60" w:rsidRDefault="00F87B60" w:rsidP="00F87B60">
      <w:pPr>
        <w:pStyle w:val="a3"/>
        <w:numPr>
          <w:ilvl w:val="0"/>
          <w:numId w:val="3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 xml:space="preserve">пациенты, получающие гемодиализ или </w:t>
      </w:r>
      <w:proofErr w:type="spellStart"/>
      <w:r w:rsidRPr="00F87B60">
        <w:rPr>
          <w:rFonts w:ascii="Times New Roman" w:hAnsi="Times New Roman" w:cs="Times New Roman"/>
          <w:sz w:val="28"/>
        </w:rPr>
        <w:t>перитонеальный</w:t>
      </w:r>
      <w:proofErr w:type="spellEnd"/>
      <w:r w:rsidRPr="00F87B60">
        <w:rPr>
          <w:rFonts w:ascii="Times New Roman" w:hAnsi="Times New Roman" w:cs="Times New Roman"/>
          <w:sz w:val="28"/>
        </w:rPr>
        <w:t xml:space="preserve"> диализ;</w:t>
      </w:r>
    </w:p>
    <w:p w:rsidR="00F87B60" w:rsidRDefault="00F87B60" w:rsidP="00F87B60">
      <w:pPr>
        <w:pStyle w:val="a3"/>
        <w:numPr>
          <w:ilvl w:val="0"/>
          <w:numId w:val="3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лица, поживающие в общежитии, многонаселенной квартире, с лицами старше 65 лет, с лицами, страдающими хроническими заболеваниями бронхолегочной, сердечно-сосудистой и эндокринной систем</w:t>
      </w:r>
    </w:p>
    <w:p w:rsidR="00F87B60" w:rsidRPr="00F87B60" w:rsidRDefault="00F87B60" w:rsidP="00F87B60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F87B60" w:rsidRPr="00F87B60" w:rsidRDefault="00F87B60" w:rsidP="00F87B60">
      <w:pPr>
        <w:spacing w:line="276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Противопоказания:</w:t>
      </w:r>
    </w:p>
    <w:p w:rsidR="00F87B60" w:rsidRPr="00F87B60" w:rsidRDefault="00F87B60" w:rsidP="00F87B6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Гиперчувствительность к какому-либо компоненту вакцины или вакцины, содержащей аналогичные компоненты;</w:t>
      </w:r>
    </w:p>
    <w:p w:rsidR="00F87B60" w:rsidRPr="00F87B60" w:rsidRDefault="00F87B60" w:rsidP="00F87B6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тяжелые аллергические реакции в анамнезе;</w:t>
      </w:r>
    </w:p>
    <w:p w:rsidR="00F87B60" w:rsidRPr="00F87B60" w:rsidRDefault="00F87B60" w:rsidP="00F87B6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 xml:space="preserve">острые инфекционные и неинфекционные заболевания, обострение хронических заболеваний </w:t>
      </w:r>
      <w:r>
        <w:rPr>
          <w:rFonts w:ascii="Times New Roman" w:hAnsi="Times New Roman" w:cs="Times New Roman"/>
          <w:sz w:val="28"/>
        </w:rPr>
        <w:t>–</w:t>
      </w:r>
      <w:r w:rsidRPr="00F87B60">
        <w:rPr>
          <w:rFonts w:ascii="Times New Roman" w:hAnsi="Times New Roman" w:cs="Times New Roman"/>
          <w:sz w:val="28"/>
        </w:rPr>
        <w:t xml:space="preserve"> вакцинацию проводят через 2-4 недели после выздоровления или ремиссии. При нетяжелых ОРВИ, острых инфекционных заболеваниях ЖКТ</w:t>
      </w:r>
      <w:r>
        <w:rPr>
          <w:rFonts w:ascii="Times New Roman" w:hAnsi="Times New Roman" w:cs="Times New Roman"/>
          <w:sz w:val="28"/>
        </w:rPr>
        <w:t xml:space="preserve"> –</w:t>
      </w:r>
      <w:r w:rsidRPr="00F87B60">
        <w:rPr>
          <w:rFonts w:ascii="Times New Roman" w:hAnsi="Times New Roman" w:cs="Times New Roman"/>
          <w:sz w:val="28"/>
        </w:rPr>
        <w:t xml:space="preserve"> вакцинацию проводят после нормализации температуры;</w:t>
      </w:r>
    </w:p>
    <w:p w:rsidR="00F87B60" w:rsidRPr="00F87B60" w:rsidRDefault="00F87B60" w:rsidP="00F87B6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беременность и период грудного вскармливания;</w:t>
      </w:r>
    </w:p>
    <w:p w:rsidR="00F87B60" w:rsidRDefault="00F87B60" w:rsidP="00F87B6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возраст до 18 лет (в связи с отсутствием данных об эффективности и безопасности)</w:t>
      </w:r>
    </w:p>
    <w:p w:rsidR="00F87B60" w:rsidRPr="00F87B60" w:rsidRDefault="00F87B60" w:rsidP="00F87B60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F87B60" w:rsidRPr="00F87B60" w:rsidRDefault="00F87B60" w:rsidP="00F87B60">
      <w:pPr>
        <w:spacing w:line="276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>Противопоказания для введения компонента II</w:t>
      </w:r>
    </w:p>
    <w:p w:rsidR="00F87B60" w:rsidRPr="00F87B60" w:rsidRDefault="00F87B60" w:rsidP="00F87B6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87B60">
        <w:rPr>
          <w:rFonts w:ascii="Times New Roman" w:hAnsi="Times New Roman" w:cs="Times New Roman"/>
          <w:sz w:val="28"/>
        </w:rPr>
        <w:t xml:space="preserve">тяжелые поствакцинальные осложнения (анафилактический шок, тяжелые </w:t>
      </w:r>
      <w:proofErr w:type="spellStart"/>
      <w:r w:rsidRPr="00F87B60">
        <w:rPr>
          <w:rFonts w:ascii="Times New Roman" w:hAnsi="Times New Roman" w:cs="Times New Roman"/>
          <w:sz w:val="28"/>
        </w:rPr>
        <w:t>генерализованные</w:t>
      </w:r>
      <w:proofErr w:type="spellEnd"/>
      <w:r w:rsidRPr="00F87B60">
        <w:rPr>
          <w:rFonts w:ascii="Times New Roman" w:hAnsi="Times New Roman" w:cs="Times New Roman"/>
          <w:sz w:val="28"/>
        </w:rPr>
        <w:t xml:space="preserve"> аллергические реакции, судорожный синдром, температура выше 40 °С и т.д.) н</w:t>
      </w:r>
      <w:r>
        <w:rPr>
          <w:rFonts w:ascii="Times New Roman" w:hAnsi="Times New Roman" w:cs="Times New Roman"/>
          <w:sz w:val="28"/>
        </w:rPr>
        <w:t>а введение компонента I вакцины.</w:t>
      </w:r>
      <w:bookmarkStart w:id="0" w:name="_GoBack"/>
      <w:bookmarkEnd w:id="0"/>
    </w:p>
    <w:sectPr w:rsidR="00F87B60" w:rsidRPr="00F8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3F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0A53D2"/>
    <w:multiLevelType w:val="hybridMultilevel"/>
    <w:tmpl w:val="FB7677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9A2085E"/>
    <w:multiLevelType w:val="hybridMultilevel"/>
    <w:tmpl w:val="FE9074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84A106F"/>
    <w:multiLevelType w:val="hybridMultilevel"/>
    <w:tmpl w:val="BDE6D56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98828FC"/>
    <w:multiLevelType w:val="hybridMultilevel"/>
    <w:tmpl w:val="05B07C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62"/>
    <w:rsid w:val="00840462"/>
    <w:rsid w:val="00BA5EF3"/>
    <w:rsid w:val="00F8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B8CB"/>
  <w15:chartTrackingRefBased/>
  <w15:docId w15:val="{548D43B7-E717-4BF7-B931-B4F215AF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2021-01-19T08:49:00Z</dcterms:created>
  <dcterms:modified xsi:type="dcterms:W3CDTF">2021-01-19T08:56:00Z</dcterms:modified>
</cp:coreProperties>
</file>